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85232045004F3D8F2A24F6AACFA9DE" style="width:450.75pt;height:393.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regulation supplementing Directive 2014/65/EU of the European Parliament and of the Council with regard to regulatory technical standards specifying the organisational requirements of investment firms engaged in algorithmic trading</w:t>
      </w:r>
      <w:r>
        <w:rPr>
          <w:noProof/>
        </w:rPr>
        <w:br/>
      </w:r>
      <w:r>
        <w:rPr>
          <w:noProof/>
        </w:rPr>
        <w:br/>
        <w:t>C(2016) 4478 final</w:t>
      </w: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In Article 16(2):</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‘The real-time monitoring of algorithmic trading activity shall be undertaken by the trader in charge of the trading algorithm or algorithmic trading strategy, by the risk management function or by an independent risk control function established for the purpose of this provision. Such risk control function shall be considered to be independent, regardless of whether the real-time monitoring is conducted by a member of the staff of the investment firm or by a third party, provided that that function is not hierarchically dependent on the trader and can challenge the trader as appropriate and necessary within the governance framework referred to in Article 1.’</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noProof/>
          <w:sz w:val="24"/>
          <w:szCs w:val="24"/>
        </w:rPr>
        <w:t>‘The real-time monitoring of algorithmic trading activity shall be undertaken by the trader in charge of the trading algorithm or algorithmic trading strategy, and by the risk management function or by an independent risk control function established for the purpose of this provision. That risk control function shall be considered to be independent, regardless of whether the real-time monitoring is conducted by a member of the staff of the investment firm or by a third party, provided that that function is not hierarchically dependent on the trader and can challenge the trader as appropriate and necessary within the governance framework referred to in Article 1.’</w:t>
      </w:r>
    </w:p>
    <w:p>
      <w:pPr>
        <w:ind w:left="720" w:hanging="720"/>
        <w:jc w:val="both"/>
        <w:rPr>
          <w:rFonts w:ascii="Times New Roman" w:hAnsi="Times New Roman" w:cs="Times New Roman"/>
          <w:noProof/>
          <w:sz w:val="24"/>
          <w:szCs w:val="24"/>
        </w:rPr>
      </w:pPr>
    </w:p>
    <w:p>
      <w:pPr>
        <w:ind w:left="720" w:hanging="720"/>
        <w:jc w:val="both"/>
        <w:rPr>
          <w:rFonts w:ascii="Times New Roman" w:hAnsi="Times New Roman" w:cs="Times New Roman"/>
          <w:noProof/>
          <w:sz w:val="24"/>
          <w:szCs w:val="24"/>
        </w:rPr>
      </w:pPr>
      <w:r>
        <w:rPr>
          <w:rFonts w:ascii="Times New Roman" w:hAnsi="Times New Roman" w:cs="Times New Roman"/>
          <w:noProof/>
          <w:sz w:val="24"/>
          <w:szCs w:val="24"/>
        </w:rPr>
        <w:t>In Article 29, second paragraph:</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‘This Regulation shall apply from the date that appears first in the second subparagraph of Article 93(1) of Directive 65/2014/EU.’</w:t>
      </w:r>
    </w:p>
    <w:p>
      <w:pPr>
        <w:ind w:left="720" w:hanging="720"/>
        <w:jc w:val="both"/>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‘This Regulation shall apply from 3 January 2018.’</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839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2085232045004F3D8F2A24F6AACFA9DE"/>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76"/>
    <w:docVar w:name="LW_REF.INTERNE" w:val="&lt;UNUSED&gt;"/>
    <w:docVar w:name="LW_SOUS.TITRE.OBJ.CP" w:val="&lt;UNUSED&gt;"/>
    <w:docVar w:name="LW_SUPERTITRE" w:val="&lt;UNUSED&gt;"/>
    <w:docVar w:name="LW_TITRE.OBJ.CP" w:val="to Commission delegated regulation supplementing Directive 2014/65/EU of the European Parliament and of the Council with regard to regulatory technical standards specifying the organisational requirements of investment firms engaged in algorithmic trading_x000b__x000b_C(2016) 4478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1603</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2017-03-08T14:41:00Z</dcterms:created>
  <dcterms:modified xsi:type="dcterms:W3CDTF">2017-03-16T08:55:00Z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